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2B" w:rsidRPr="00AE6E1E" w:rsidRDefault="00AE6E1E" w:rsidP="004B7607">
      <w:pPr>
        <w:jc w:val="center"/>
        <w:rPr>
          <w:sz w:val="28"/>
          <w:szCs w:val="28"/>
        </w:rPr>
      </w:pPr>
      <w:r w:rsidRPr="00AE6E1E">
        <w:rPr>
          <w:rFonts w:hint="eastAsia"/>
          <w:sz w:val="28"/>
          <w:szCs w:val="28"/>
        </w:rPr>
        <w:t>基于风险评估的</w:t>
      </w:r>
      <w:r w:rsidR="004B7607" w:rsidRPr="00AE6E1E">
        <w:rPr>
          <w:rFonts w:hint="eastAsia"/>
          <w:sz w:val="28"/>
          <w:szCs w:val="28"/>
        </w:rPr>
        <w:t>常压储罐完整性管理系统</w:t>
      </w:r>
    </w:p>
    <w:p w:rsidR="001B64A8" w:rsidRPr="001B64A8" w:rsidRDefault="004B7607" w:rsidP="001B64A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 w:cs="TT64E9BFA0tCID-WinCharSetFFFF-H"/>
          <w:kern w:val="0"/>
          <w:sz w:val="24"/>
          <w:szCs w:val="24"/>
        </w:rPr>
      </w:pPr>
      <w:r w:rsidRPr="004B7607">
        <w:rPr>
          <w:rFonts w:ascii="楷体" w:eastAsia="楷体" w:hAnsi="楷体" w:cs="TT64E9BFA0tCID-WinCharSetFFFF-H" w:hint="eastAsia"/>
          <w:kern w:val="0"/>
          <w:sz w:val="24"/>
          <w:szCs w:val="24"/>
        </w:rPr>
        <w:t>结合国内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常压储罐运行</w:t>
      </w:r>
      <w:r w:rsidR="00F74324">
        <w:rPr>
          <w:rFonts w:ascii="楷体" w:eastAsia="楷体" w:hAnsi="楷体" w:cs="TT64E9BFA0tCID-WinCharSetFFFF-H" w:hint="eastAsia"/>
          <w:kern w:val="0"/>
          <w:sz w:val="24"/>
          <w:szCs w:val="24"/>
        </w:rPr>
        <w:t>使用</w:t>
      </w:r>
      <w:r w:rsidRPr="004B7607">
        <w:rPr>
          <w:rFonts w:ascii="楷体" w:eastAsia="楷体" w:hAnsi="楷体" w:cs="TT64E9BFA0tCID-WinCharSetFFFF-H" w:hint="eastAsia"/>
          <w:kern w:val="0"/>
          <w:sz w:val="24"/>
          <w:szCs w:val="24"/>
        </w:rPr>
        <w:t>特点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，</w:t>
      </w:r>
      <w:r w:rsidR="00F74324">
        <w:rPr>
          <w:rFonts w:ascii="楷体" w:eastAsia="楷体" w:hAnsi="楷体" w:cs="TT64E9BFA0tCID-WinCharSetFFFF-H" w:hint="eastAsia"/>
          <w:kern w:val="0"/>
          <w:sz w:val="24"/>
          <w:szCs w:val="24"/>
        </w:rPr>
        <w:t>将风险评价的结果运用到储罐的日常管理中，</w:t>
      </w:r>
      <w:r w:rsidRPr="004B7607">
        <w:rPr>
          <w:rFonts w:ascii="楷体" w:eastAsia="楷体" w:hAnsi="楷体" w:cs="TT64E9BFA0tCID-WinCharSetFFFF-H" w:hint="eastAsia"/>
          <w:kern w:val="0"/>
          <w:sz w:val="24"/>
          <w:szCs w:val="24"/>
        </w:rPr>
        <w:t>通过对</w:t>
      </w:r>
      <w:r w:rsidR="000C0337">
        <w:rPr>
          <w:rFonts w:ascii="楷体" w:eastAsia="楷体" w:hAnsi="楷体" w:cs="TT64E9BFA0tCID-WinCharSetFFFF-H" w:hint="eastAsia"/>
          <w:kern w:val="0"/>
          <w:sz w:val="24"/>
          <w:szCs w:val="24"/>
        </w:rPr>
        <w:t>储罐动态</w:t>
      </w:r>
      <w:r w:rsidRPr="004B7607">
        <w:rPr>
          <w:rFonts w:ascii="楷体" w:eastAsia="楷体" w:hAnsi="楷体" w:cs="TT64E9BFA0tCID-WinCharSetFFFF-H" w:hint="eastAsia"/>
          <w:kern w:val="0"/>
          <w:sz w:val="24"/>
          <w:szCs w:val="24"/>
        </w:rPr>
        <w:t>风险</w:t>
      </w:r>
      <w:r w:rsidR="000C0337">
        <w:rPr>
          <w:rFonts w:ascii="楷体" w:eastAsia="楷体" w:hAnsi="楷体" w:cs="TT64E9BFA0tCID-WinCharSetFFFF-H" w:hint="eastAsia"/>
          <w:kern w:val="0"/>
          <w:sz w:val="24"/>
          <w:szCs w:val="24"/>
        </w:rPr>
        <w:t>评估</w:t>
      </w:r>
      <w:r w:rsidRPr="004B7607">
        <w:rPr>
          <w:rFonts w:ascii="楷体" w:eastAsia="楷体" w:hAnsi="楷体" w:cs="TT64E9BFA0tCID-WinCharSetFFFF-H" w:hint="eastAsia"/>
          <w:kern w:val="0"/>
          <w:sz w:val="24"/>
          <w:szCs w:val="24"/>
        </w:rPr>
        <w:t>，确定最佳的检修周期与检修计划，最大程度地保证设备的运行安全。</w:t>
      </w:r>
    </w:p>
    <w:p w:rsidR="00B238F9" w:rsidRPr="00B238F9" w:rsidRDefault="00B238F9" w:rsidP="00B238F9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 w:cs="TT64E9BFA0tCID-WinCharSetFFFF-H"/>
          <w:kern w:val="0"/>
          <w:sz w:val="24"/>
          <w:szCs w:val="24"/>
        </w:rPr>
      </w:pPr>
      <w:r w:rsidRPr="00B238F9">
        <w:rPr>
          <w:rFonts w:ascii="楷体" w:eastAsia="楷体" w:hAnsi="楷体" w:cs="TT64E9BFA0tCID-WinCharSetFFFF-H" w:hint="eastAsia"/>
          <w:kern w:val="0"/>
          <w:sz w:val="24"/>
          <w:szCs w:val="24"/>
        </w:rPr>
        <w:t>一、系统工作流程</w:t>
      </w:r>
    </w:p>
    <w:p w:rsidR="00B238F9" w:rsidRDefault="00B238F9" w:rsidP="00B238F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楷体" w:eastAsia="楷体" w:hAnsi="楷体" w:cs="TT64E9BFA0tCID-WinCharSetFFFF-H"/>
          <w:kern w:val="0"/>
          <w:sz w:val="24"/>
          <w:szCs w:val="24"/>
        </w:rPr>
      </w:pPr>
      <w:r>
        <w:rPr>
          <w:rFonts w:ascii="楷体" w:eastAsia="楷体" w:hAnsi="楷体" w:cs="TT64E9BFA0tCID-WinCharSetFFFF-H"/>
          <w:noProof/>
          <w:kern w:val="0"/>
          <w:sz w:val="24"/>
          <w:szCs w:val="24"/>
        </w:rPr>
        <w:drawing>
          <wp:inline distT="0" distB="0" distL="0" distR="0">
            <wp:extent cx="3409950" cy="22193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324" w:rsidRDefault="00F74324" w:rsidP="00F74324">
      <w:pPr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 w:cs="TT64E9BFA0tCID-WinCharSetFFFF-H"/>
          <w:kern w:val="0"/>
          <w:sz w:val="24"/>
          <w:szCs w:val="24"/>
        </w:rPr>
      </w:pP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二、主要功能特点</w:t>
      </w:r>
    </w:p>
    <w:p w:rsidR="00F74324" w:rsidRDefault="00F74324" w:rsidP="00F74324">
      <w:pPr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 w:cs="TT64E9BFA0tCID-WinCharSetFFFF-H"/>
          <w:kern w:val="0"/>
          <w:sz w:val="24"/>
          <w:szCs w:val="24"/>
        </w:rPr>
      </w:pP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1、储罐基本信息管理</w:t>
      </w:r>
    </w:p>
    <w:p w:rsidR="00F74324" w:rsidRDefault="00F74324" w:rsidP="00F74324">
      <w:pPr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 w:cs="TT64E9BFA0tCID-WinCharSetFFFF-H"/>
          <w:kern w:val="0"/>
          <w:sz w:val="24"/>
          <w:szCs w:val="24"/>
        </w:rPr>
      </w:pP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 xml:space="preserve">   系统建立了储罐基本信息数据库，用户可以根据需要浏览、添加、修改数据库中储罐的基本参数，上传或下载所需要的资料。</w:t>
      </w:r>
    </w:p>
    <w:p w:rsidR="00F74324" w:rsidRPr="00D43E62" w:rsidRDefault="00F74324" w:rsidP="00F74324">
      <w:pPr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 w:cs="TT64E9BFA0tCID-WinCharSetFFFF-H"/>
          <w:kern w:val="0"/>
          <w:sz w:val="24"/>
          <w:szCs w:val="24"/>
        </w:rPr>
      </w:pP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2、</w:t>
      </w:r>
      <w:r w:rsidRPr="00D43E62">
        <w:rPr>
          <w:rFonts w:ascii="楷体" w:eastAsia="楷体" w:hAnsi="楷体" w:cs="TT64E9BFA0tCID-WinCharSetFFFF-H" w:hint="eastAsia"/>
          <w:kern w:val="0"/>
          <w:sz w:val="24"/>
          <w:szCs w:val="24"/>
        </w:rPr>
        <w:t>损伤模式识别</w:t>
      </w:r>
    </w:p>
    <w:p w:rsidR="00F74324" w:rsidRDefault="00F74324" w:rsidP="00F74324">
      <w:pPr>
        <w:autoSpaceDE w:val="0"/>
        <w:autoSpaceDN w:val="0"/>
        <w:adjustRightInd w:val="0"/>
        <w:snapToGrid w:val="0"/>
        <w:spacing w:line="360" w:lineRule="auto"/>
        <w:ind w:firstLineChars="150" w:firstLine="360"/>
        <w:rPr>
          <w:rFonts w:ascii="楷体" w:eastAsia="楷体" w:hAnsi="楷体" w:cs="TT64E9BFA0tCID-WinCharSetFFFF-H"/>
          <w:kern w:val="0"/>
          <w:sz w:val="24"/>
          <w:szCs w:val="24"/>
        </w:rPr>
      </w:pPr>
      <w:r w:rsidRPr="00A5343F">
        <w:rPr>
          <w:rFonts w:ascii="楷体" w:eastAsia="楷体" w:hAnsi="楷体" w:cs="TT64E9BFA0tCID-WinCharSetFFFF-H" w:hint="eastAsia"/>
          <w:kern w:val="0"/>
          <w:sz w:val="24"/>
          <w:szCs w:val="24"/>
        </w:rPr>
        <w:t>常压储罐的损伤考虑减薄、开裂、脆性断裂以及外部损伤。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通过储罐</w:t>
      </w:r>
      <w:r w:rsidRPr="00A5343F">
        <w:rPr>
          <w:rFonts w:ascii="楷体" w:eastAsia="楷体" w:hAnsi="楷体" w:cs="TT64E9BFA0tCID-WinCharSetFFFF-H" w:hint="eastAsia"/>
          <w:kern w:val="0"/>
          <w:sz w:val="24"/>
          <w:szCs w:val="24"/>
        </w:rPr>
        <w:t>所选用的材料与介质以及外部大气作用，确定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储罐</w:t>
      </w:r>
      <w:r w:rsidRPr="00A5343F">
        <w:rPr>
          <w:rFonts w:ascii="楷体" w:eastAsia="楷体" w:hAnsi="楷体" w:cs="TT64E9BFA0tCID-WinCharSetFFFF-H" w:hint="eastAsia"/>
          <w:kern w:val="0"/>
          <w:sz w:val="24"/>
          <w:szCs w:val="24"/>
        </w:rPr>
        <w:t>失效机理，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进而可计算储罐损伤</w:t>
      </w:r>
      <w:r w:rsidRPr="00A5343F">
        <w:rPr>
          <w:rFonts w:ascii="楷体" w:eastAsia="楷体" w:hAnsi="楷体" w:cs="TT64E9BFA0tCID-WinCharSetFFFF-H" w:hint="eastAsia"/>
          <w:kern w:val="0"/>
          <w:sz w:val="24"/>
          <w:szCs w:val="24"/>
        </w:rPr>
        <w:t>因子，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从而确定失效概率。</w:t>
      </w:r>
    </w:p>
    <w:p w:rsidR="00104A8D" w:rsidRDefault="00104A8D" w:rsidP="00104A8D">
      <w:pPr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 w:cs="TT64E9BFA0tCID-WinCharSetFFFF-H"/>
          <w:kern w:val="0"/>
          <w:sz w:val="24"/>
          <w:szCs w:val="24"/>
        </w:rPr>
      </w:pP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3、风险计算</w:t>
      </w:r>
    </w:p>
    <w:p w:rsidR="00104A8D" w:rsidRDefault="00590731" w:rsidP="006D799D">
      <w:pPr>
        <w:autoSpaceDE w:val="0"/>
        <w:autoSpaceDN w:val="0"/>
        <w:adjustRightInd w:val="0"/>
        <w:snapToGrid w:val="0"/>
        <w:spacing w:line="360" w:lineRule="auto"/>
        <w:ind w:firstLineChars="150" w:firstLine="360"/>
        <w:rPr>
          <w:rFonts w:ascii="楷体" w:eastAsia="楷体" w:hAnsi="楷体" w:cs="TT64E9BFA0tCID-WinCharSetFFFF-H"/>
          <w:kern w:val="0"/>
          <w:sz w:val="24"/>
          <w:szCs w:val="24"/>
        </w:rPr>
      </w:pP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通过系统设置的风险计算模块，</w:t>
      </w:r>
      <w:r w:rsidR="00104A8D" w:rsidRPr="00104A8D">
        <w:rPr>
          <w:rFonts w:ascii="楷体" w:eastAsia="楷体" w:hAnsi="楷体" w:cs="TT64E9BFA0tCID-WinCharSetFFFF-H" w:hint="eastAsia"/>
          <w:kern w:val="0"/>
          <w:sz w:val="24"/>
          <w:szCs w:val="24"/>
        </w:rPr>
        <w:t>可以按单元或者单台设备进行计算，</w:t>
      </w:r>
      <w:r w:rsidR="002D75FD">
        <w:rPr>
          <w:rFonts w:ascii="楷体" w:eastAsia="楷体" w:hAnsi="楷体" w:cs="TT64E9BFA0tCID-WinCharSetFFFF-H" w:hint="eastAsia"/>
          <w:kern w:val="0"/>
          <w:sz w:val="24"/>
          <w:szCs w:val="24"/>
        </w:rPr>
        <w:t>对与一些不完善的储罐数据（腐蚀速率等），系统给出了默认的专家建议值。</w:t>
      </w:r>
      <w:r w:rsidR="000910DD">
        <w:rPr>
          <w:rFonts w:ascii="楷体" w:eastAsia="楷体" w:hAnsi="楷体" w:cs="TT64E9BFA0tCID-WinCharSetFFFF-H" w:hint="eastAsia"/>
          <w:kern w:val="0"/>
          <w:sz w:val="24"/>
          <w:szCs w:val="24"/>
        </w:rPr>
        <w:t>该系统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不仅能随着运行或检测数据的改变对风险结果进行更新，还能</w:t>
      </w:r>
      <w:r w:rsidR="00104A8D">
        <w:rPr>
          <w:rFonts w:ascii="楷体" w:eastAsia="楷体" w:hAnsi="楷体" w:cs="TT64E9BFA0tCID-WinCharSetFFFF-H" w:hint="eastAsia"/>
          <w:kern w:val="0"/>
          <w:sz w:val="24"/>
          <w:szCs w:val="24"/>
        </w:rPr>
        <w:t>通过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预测</w:t>
      </w:r>
      <w:r w:rsidR="00104A8D" w:rsidRPr="00104A8D">
        <w:rPr>
          <w:rFonts w:ascii="楷体" w:eastAsia="楷体" w:hAnsi="楷体" w:cs="TT64E9BFA0tCID-WinCharSetFFFF-H" w:hint="eastAsia"/>
          <w:kern w:val="0"/>
          <w:sz w:val="24"/>
          <w:szCs w:val="24"/>
        </w:rPr>
        <w:t>储罐未来风险的发展趋势。</w:t>
      </w:r>
    </w:p>
    <w:p w:rsidR="0044332A" w:rsidRDefault="0044332A" w:rsidP="0044332A">
      <w:pPr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 w:cs="TT64E9BFA0tCID-WinCharSetFFFF-H"/>
          <w:kern w:val="0"/>
          <w:sz w:val="24"/>
          <w:szCs w:val="24"/>
        </w:rPr>
      </w:pP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4、储罐检维修管理</w:t>
      </w:r>
    </w:p>
    <w:p w:rsidR="0044332A" w:rsidRDefault="00754346" w:rsidP="0044332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楷体" w:eastAsia="楷体" w:hAnsi="楷体" w:cs="TT64E9BFA0tCID-WinCharSetFFFF-H"/>
          <w:kern w:val="0"/>
          <w:sz w:val="24"/>
          <w:szCs w:val="24"/>
        </w:rPr>
      </w:pP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常压储罐检维修管理主要包含检维修计划、检验记录、维修记录三个方面。</w:t>
      </w:r>
      <w:r w:rsidRPr="0044332A">
        <w:rPr>
          <w:rFonts w:ascii="楷体" w:eastAsia="楷体" w:hAnsi="楷体" w:cs="TT64E9BFA0tCID-WinCharSetFFFF-H" w:hint="eastAsia"/>
          <w:kern w:val="0"/>
          <w:sz w:val="24"/>
          <w:szCs w:val="24"/>
        </w:rPr>
        <w:t>根据风险评价结果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，系统</w:t>
      </w:r>
      <w:r w:rsidR="0044332A" w:rsidRPr="0044332A">
        <w:rPr>
          <w:rFonts w:ascii="楷体" w:eastAsia="楷体" w:hAnsi="楷体" w:cs="TT64E9BFA0tCID-WinCharSetFFFF-H" w:hint="eastAsia"/>
          <w:kern w:val="0"/>
          <w:sz w:val="24"/>
          <w:szCs w:val="24"/>
        </w:rPr>
        <w:t>给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出推荐</w:t>
      </w:r>
      <w:r w:rsidR="0044332A" w:rsidRPr="0044332A">
        <w:rPr>
          <w:rFonts w:ascii="楷体" w:eastAsia="楷体" w:hAnsi="楷体" w:cs="TT64E9BFA0tCID-WinCharSetFFFF-H" w:hint="eastAsia"/>
          <w:kern w:val="0"/>
          <w:sz w:val="24"/>
          <w:szCs w:val="24"/>
        </w:rPr>
        <w:t>的检验时间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间隔</w:t>
      </w:r>
      <w:r w:rsidR="0044332A" w:rsidRPr="0044332A">
        <w:rPr>
          <w:rFonts w:ascii="楷体" w:eastAsia="楷体" w:hAnsi="楷体" w:cs="TT64E9BFA0tCID-WinCharSetFFFF-H" w:hint="eastAsia"/>
          <w:kern w:val="0"/>
          <w:sz w:val="24"/>
          <w:szCs w:val="24"/>
        </w:rPr>
        <w:t>，用户可以根据具体情况调整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储罐</w:t>
      </w:r>
      <w:r w:rsidR="0044332A" w:rsidRPr="0044332A">
        <w:rPr>
          <w:rFonts w:ascii="楷体" w:eastAsia="楷体" w:hAnsi="楷体" w:cs="TT64E9BFA0tCID-WinCharSetFFFF-H" w:hint="eastAsia"/>
          <w:kern w:val="0"/>
          <w:sz w:val="24"/>
          <w:szCs w:val="24"/>
        </w:rPr>
        <w:t>检修的时间。</w:t>
      </w:r>
    </w:p>
    <w:p w:rsidR="00A430B8" w:rsidRDefault="00A430B8" w:rsidP="00A430B8">
      <w:pPr>
        <w:autoSpaceDE w:val="0"/>
        <w:autoSpaceDN w:val="0"/>
        <w:adjustRightInd w:val="0"/>
        <w:snapToGrid w:val="0"/>
        <w:spacing w:line="360" w:lineRule="auto"/>
        <w:rPr>
          <w:rFonts w:ascii="楷体" w:eastAsia="楷体" w:hAnsi="楷体" w:cs="TT64E9BFA0tCID-WinCharSetFFFF-H"/>
          <w:kern w:val="0"/>
          <w:sz w:val="24"/>
          <w:szCs w:val="24"/>
        </w:rPr>
      </w:pP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lastRenderedPageBreak/>
        <w:t>5、用户管理</w:t>
      </w:r>
    </w:p>
    <w:p w:rsidR="00A430B8" w:rsidRDefault="00A430B8" w:rsidP="00A430B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楷体" w:eastAsia="楷体" w:hAnsi="楷体" w:cs="TT64E9BFA0tCID-WinCharSetFFFF-H" w:hint="eastAsia"/>
          <w:kern w:val="0"/>
          <w:sz w:val="24"/>
          <w:szCs w:val="24"/>
        </w:rPr>
      </w:pPr>
      <w:r w:rsidRPr="00A430B8">
        <w:rPr>
          <w:rFonts w:ascii="楷体" w:eastAsia="楷体" w:hAnsi="楷体" w:cs="TT64E9BFA0tCID-WinCharSetFFFF-H"/>
          <w:kern w:val="0"/>
          <w:sz w:val="24"/>
          <w:szCs w:val="24"/>
        </w:rPr>
        <w:t>根据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用户所在装置的不同</w:t>
      </w:r>
      <w:r w:rsidRPr="00A430B8">
        <w:rPr>
          <w:rFonts w:ascii="楷体" w:eastAsia="楷体" w:hAnsi="楷体" w:cs="TT64E9BFA0tCID-WinCharSetFFFF-H"/>
          <w:kern w:val="0"/>
          <w:sz w:val="24"/>
          <w:szCs w:val="24"/>
        </w:rPr>
        <w:t>生成管理决策系统中的相关内容,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并对相应的修改权限进行控制，实施储罐</w:t>
      </w:r>
      <w:r w:rsidRPr="00A430B8">
        <w:rPr>
          <w:rFonts w:ascii="楷体" w:eastAsia="楷体" w:hAnsi="楷体" w:cs="TT64E9BFA0tCID-WinCharSetFFFF-H"/>
          <w:kern w:val="0"/>
          <w:sz w:val="24"/>
          <w:szCs w:val="24"/>
        </w:rPr>
        <w:t>日常管理策略和维修策略</w:t>
      </w: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>的分级管理办法</w:t>
      </w:r>
      <w:r w:rsidRPr="00A430B8">
        <w:rPr>
          <w:rFonts w:ascii="楷体" w:eastAsia="楷体" w:hAnsi="楷体" w:cs="TT64E9BFA0tCID-WinCharSetFFFF-H"/>
          <w:kern w:val="0"/>
          <w:sz w:val="24"/>
          <w:szCs w:val="24"/>
        </w:rPr>
        <w:t>。</w:t>
      </w:r>
    </w:p>
    <w:p w:rsidR="00616219" w:rsidRDefault="00616219" w:rsidP="00616219">
      <w:pPr>
        <w:autoSpaceDE w:val="0"/>
        <w:autoSpaceDN w:val="0"/>
        <w:adjustRightInd w:val="0"/>
        <w:snapToGrid w:val="0"/>
        <w:spacing w:line="360" w:lineRule="auto"/>
        <w:ind w:leftChars="-67" w:left="-141" w:rightChars="-94" w:right="-197"/>
        <w:jc w:val="left"/>
        <w:rPr>
          <w:rFonts w:ascii="楷体" w:eastAsia="楷体" w:hAnsi="楷体" w:cs="TT64E9BFA0tCID-WinCharSetFFFF-H" w:hint="eastAsia"/>
          <w:kern w:val="0"/>
          <w:sz w:val="24"/>
          <w:szCs w:val="24"/>
        </w:rPr>
      </w:pPr>
      <w:r>
        <w:rPr>
          <w:rFonts w:ascii="楷体" w:eastAsia="楷体" w:hAnsi="楷体" w:cs="TT64E9BFA0tCID-WinCharSetFFFF-H"/>
          <w:noProof/>
          <w:kern w:val="0"/>
          <w:sz w:val="24"/>
          <w:szCs w:val="24"/>
        </w:rPr>
        <w:drawing>
          <wp:inline distT="0" distB="0" distL="0" distR="0">
            <wp:extent cx="2646990" cy="1762125"/>
            <wp:effectExtent l="19050" t="0" r="960" b="0"/>
            <wp:docPr id="3" name="图片 2" descr="D:\my work\2012\常压储罐完整性管理系统展板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work\2012\常压储罐完整性管理系统展板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725" cy="176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99D">
        <w:rPr>
          <w:rFonts w:ascii="楷体" w:eastAsia="楷体" w:hAnsi="楷体" w:cs="TT64E9BFA0tCID-WinCharSetFFFF-H"/>
          <w:noProof/>
          <w:kern w:val="0"/>
          <w:sz w:val="24"/>
          <w:szCs w:val="24"/>
        </w:rPr>
        <w:drawing>
          <wp:inline distT="0" distB="0" distL="0" distR="0">
            <wp:extent cx="2600325" cy="1730414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32" cy="1732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219" w:rsidRDefault="00616219" w:rsidP="00616219">
      <w:pPr>
        <w:autoSpaceDE w:val="0"/>
        <w:autoSpaceDN w:val="0"/>
        <w:adjustRightInd w:val="0"/>
        <w:snapToGrid w:val="0"/>
        <w:spacing w:line="360" w:lineRule="auto"/>
        <w:ind w:leftChars="-67" w:left="-141" w:rightChars="-94" w:right="-197"/>
        <w:jc w:val="left"/>
        <w:rPr>
          <w:rFonts w:ascii="楷体" w:eastAsia="楷体" w:hAnsi="楷体" w:cs="TT64E9BFA0tCID-WinCharSetFFFF-H"/>
          <w:kern w:val="0"/>
          <w:sz w:val="24"/>
          <w:szCs w:val="24"/>
        </w:rPr>
      </w:pP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 xml:space="preserve">          常压储罐数据库                    损伤模式识别模块</w:t>
      </w:r>
    </w:p>
    <w:p w:rsidR="00616219" w:rsidRDefault="00616219" w:rsidP="00616219">
      <w:pPr>
        <w:autoSpaceDE w:val="0"/>
        <w:autoSpaceDN w:val="0"/>
        <w:adjustRightInd w:val="0"/>
        <w:snapToGrid w:val="0"/>
        <w:spacing w:line="360" w:lineRule="auto"/>
        <w:ind w:leftChars="-67" w:left="-140" w:rightChars="-94" w:right="-197" w:hanging="1"/>
        <w:jc w:val="left"/>
        <w:rPr>
          <w:rFonts w:ascii="楷体" w:eastAsia="楷体" w:hAnsi="楷体" w:cs="TT64E9BFA0tCID-WinCharSetFFFF-H" w:hint="eastAsia"/>
          <w:kern w:val="0"/>
          <w:sz w:val="24"/>
          <w:szCs w:val="24"/>
        </w:rPr>
      </w:pPr>
      <w:r w:rsidRPr="006D799D">
        <w:rPr>
          <w:rFonts w:ascii="楷体" w:eastAsia="楷体" w:hAnsi="楷体" w:cs="TT64E9BFA0tCID-WinCharSetFFFF-H"/>
          <w:noProof/>
          <w:kern w:val="0"/>
          <w:sz w:val="24"/>
          <w:szCs w:val="24"/>
        </w:rPr>
        <w:drawing>
          <wp:inline distT="0" distB="0" distL="0" distR="0">
            <wp:extent cx="2686050" cy="1788128"/>
            <wp:effectExtent l="19050" t="0" r="0" b="0"/>
            <wp:docPr id="5" name="图片 4" descr="D:\my work\2012\常压储罐完整性管理系统展板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y work\2012\常压储罐完整性管理系统展板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940" cy="1792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6D9">
        <w:rPr>
          <w:rFonts w:ascii="楷体" w:eastAsia="楷体" w:hAnsi="楷体" w:cs="TT64E9BFA0tCID-WinCharSetFFFF-H"/>
          <w:noProof/>
          <w:kern w:val="0"/>
          <w:sz w:val="24"/>
          <w:szCs w:val="24"/>
        </w:rPr>
        <w:drawing>
          <wp:inline distT="0" distB="0" distL="0" distR="0">
            <wp:extent cx="2686050" cy="1788127"/>
            <wp:effectExtent l="19050" t="0" r="0" b="0"/>
            <wp:docPr id="6" name="图片 5" descr="D:\my work\2012\常压储罐完整性管理系统展板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y work\2012\常压储罐完整性管理系统展板\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927" cy="179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219" w:rsidRPr="00616219" w:rsidRDefault="00616219" w:rsidP="00616219">
      <w:pPr>
        <w:autoSpaceDE w:val="0"/>
        <w:autoSpaceDN w:val="0"/>
        <w:adjustRightInd w:val="0"/>
        <w:snapToGrid w:val="0"/>
        <w:spacing w:line="360" w:lineRule="auto"/>
        <w:ind w:leftChars="-67" w:left="-140" w:rightChars="-94" w:right="-197" w:hanging="1"/>
        <w:jc w:val="left"/>
        <w:rPr>
          <w:rFonts w:ascii="楷体" w:eastAsia="楷体" w:hAnsi="楷体" w:cs="TT64E9BFA0tCID-WinCharSetFFFF-H"/>
          <w:kern w:val="0"/>
          <w:sz w:val="24"/>
          <w:szCs w:val="24"/>
        </w:rPr>
      </w:pPr>
      <w:r>
        <w:rPr>
          <w:rFonts w:ascii="楷体" w:eastAsia="楷体" w:hAnsi="楷体" w:cs="TT64E9BFA0tCID-WinCharSetFFFF-H" w:hint="eastAsia"/>
          <w:kern w:val="0"/>
          <w:sz w:val="24"/>
          <w:szCs w:val="24"/>
        </w:rPr>
        <w:t xml:space="preserve">          动态风险计算模块                   检维修管理模块</w:t>
      </w:r>
    </w:p>
    <w:p w:rsidR="00754346" w:rsidRDefault="00ED7539" w:rsidP="0075434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楷体" w:eastAsia="楷体" w:hAnsi="楷体" w:cs="TT64E9BFA0tCID-WinCharSetFFFF-H"/>
          <w:kern w:val="0"/>
          <w:sz w:val="24"/>
          <w:szCs w:val="24"/>
        </w:rPr>
      </w:pPr>
      <w:r w:rsidRPr="00ED7539">
        <w:rPr>
          <w:rFonts w:ascii="楷体" w:eastAsia="楷体" w:hAnsi="楷体" w:cs="TT64E9BFA0tCID-WinCharSetFFFF-H"/>
          <w:noProof/>
          <w:kern w:val="0"/>
          <w:sz w:val="24"/>
          <w:szCs w:val="24"/>
        </w:rPr>
        <w:drawing>
          <wp:inline distT="0" distB="0" distL="0" distR="0">
            <wp:extent cx="2486025" cy="3397053"/>
            <wp:effectExtent l="19050" t="0" r="9525" b="0"/>
            <wp:docPr id="2" name="图片 6" descr="C:\Users\liulin\AppData\Roaming\Tencent\Users\282205520\QQ\WinTemp\RichOle\K18%X%{A_35YL0BT$L[HVQ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ulin\AppData\Roaming\Tencent\Users\282205520\QQ\WinTemp\RichOle\K18%X%{A_35YL0BT$L[HVQ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682" cy="340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346" w:rsidSect="008A672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C72" w:rsidRDefault="00272C72" w:rsidP="004B7607">
      <w:r>
        <w:separator/>
      </w:r>
    </w:p>
  </w:endnote>
  <w:endnote w:type="continuationSeparator" w:id="1">
    <w:p w:rsidR="00272C72" w:rsidRDefault="00272C72" w:rsidP="004B7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T64E9BFA0tCID-WinCharSetFFFF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C72" w:rsidRDefault="00272C72" w:rsidP="004B7607">
      <w:r>
        <w:separator/>
      </w:r>
    </w:p>
  </w:footnote>
  <w:footnote w:type="continuationSeparator" w:id="1">
    <w:p w:rsidR="00272C72" w:rsidRDefault="00272C72" w:rsidP="004B76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607"/>
    <w:rsid w:val="0005154C"/>
    <w:rsid w:val="000910DD"/>
    <w:rsid w:val="000C0337"/>
    <w:rsid w:val="000E12FB"/>
    <w:rsid w:val="00104A8D"/>
    <w:rsid w:val="00183AE7"/>
    <w:rsid w:val="001B64A8"/>
    <w:rsid w:val="00272C72"/>
    <w:rsid w:val="002D75FD"/>
    <w:rsid w:val="003E223F"/>
    <w:rsid w:val="00435780"/>
    <w:rsid w:val="0044332A"/>
    <w:rsid w:val="00491133"/>
    <w:rsid w:val="004B7607"/>
    <w:rsid w:val="004C171B"/>
    <w:rsid w:val="005221AE"/>
    <w:rsid w:val="00590731"/>
    <w:rsid w:val="0059689D"/>
    <w:rsid w:val="005A6EF6"/>
    <w:rsid w:val="00616219"/>
    <w:rsid w:val="00664384"/>
    <w:rsid w:val="006D541E"/>
    <w:rsid w:val="006D799D"/>
    <w:rsid w:val="00726BA8"/>
    <w:rsid w:val="00754346"/>
    <w:rsid w:val="008A672B"/>
    <w:rsid w:val="00A01316"/>
    <w:rsid w:val="00A430B8"/>
    <w:rsid w:val="00A5343F"/>
    <w:rsid w:val="00A81A53"/>
    <w:rsid w:val="00AE6E1E"/>
    <w:rsid w:val="00B1490D"/>
    <w:rsid w:val="00B238F9"/>
    <w:rsid w:val="00B7286D"/>
    <w:rsid w:val="00BF46D9"/>
    <w:rsid w:val="00C758C2"/>
    <w:rsid w:val="00D25421"/>
    <w:rsid w:val="00D43E62"/>
    <w:rsid w:val="00ED7539"/>
    <w:rsid w:val="00F74324"/>
    <w:rsid w:val="00F84D5C"/>
    <w:rsid w:val="00FE6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6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60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38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3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60A0-78EF-434F-A339-02B74912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97</Words>
  <Characters>553</Characters>
  <Application>Microsoft Office Word</Application>
  <DocSecurity>0</DocSecurity>
  <Lines>4</Lines>
  <Paragraphs>1</Paragraphs>
  <ScaleCrop>false</ScaleCrop>
  <Company>NJBPVI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yuyongliang</dc:creator>
  <cp:keywords/>
  <dc:description/>
  <cp:lastModifiedBy>yuyongliang</cp:lastModifiedBy>
  <cp:revision>34</cp:revision>
  <dcterms:created xsi:type="dcterms:W3CDTF">2012-10-22T01:00:00Z</dcterms:created>
  <dcterms:modified xsi:type="dcterms:W3CDTF">2012-10-25T07:52:00Z</dcterms:modified>
</cp:coreProperties>
</file>